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486"/>
        <w:spacing w:before="140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14"/>
        </w:rPr>
        <w:t>广东工商职业技术大学2025年</w:t>
      </w:r>
    </w:p>
    <w:p>
      <w:pPr>
        <w:ind w:left="21"/>
        <w:spacing w:before="97" w:line="219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“3+专业技能课程证书”大数据工程技术专业</w:t>
      </w:r>
    </w:p>
    <w:p>
      <w:pPr>
        <w:ind w:left="2324" w:right="2304" w:firstLine="341"/>
        <w:spacing w:before="64" w:line="29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Sun" w:hAnsi="SimSun" w:eastAsia="SimSun" w:cs="SimSun"/>
          <w:sz w:val="43"/>
          <w:szCs w:val="43"/>
          <w:b/>
          <w:bCs/>
          <w:spacing w:val="-3"/>
        </w:rPr>
        <w:t>职业技能测试大纲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 </w:t>
      </w:r>
      <w:r>
        <w:rPr>
          <w:rFonts w:ascii="SimHei" w:hAnsi="SimHei" w:eastAsia="SimHei" w:cs="SimHei"/>
          <w:sz w:val="31"/>
          <w:szCs w:val="31"/>
          <w:b/>
          <w:bCs/>
          <w:spacing w:val="8"/>
        </w:rPr>
        <w:t>第一部分考试性质与命题原则</w:t>
      </w:r>
    </w:p>
    <w:p>
      <w:pPr>
        <w:ind w:left="309"/>
        <w:spacing w:before="126" w:line="227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</w:rPr>
        <w:t>一、考试性质</w:t>
      </w:r>
    </w:p>
    <w:p>
      <w:pPr>
        <w:pStyle w:val="BodyText"/>
        <w:ind w:firstLine="430"/>
        <w:spacing w:before="212" w:line="353" w:lineRule="auto"/>
        <w:rPr/>
      </w:pPr>
      <w:r>
        <w:rPr>
          <w:spacing w:val="11"/>
        </w:rPr>
        <w:t>2025年广东工商职业技术大学中职升本大数据工程技术专业</w:t>
      </w:r>
      <w:r>
        <w:rPr>
          <w:spacing w:val="11"/>
        </w:rPr>
        <w:t xml:space="preserve"> </w:t>
      </w:r>
      <w:r>
        <w:rPr>
          <w:spacing w:val="13"/>
        </w:rPr>
        <w:t>职业技能测试，是根据广东省《关于做好广东省2025年普通高</w:t>
      </w:r>
      <w:r>
        <w:rPr>
          <w:spacing w:val="17"/>
        </w:rPr>
        <w:t xml:space="preserve"> </w:t>
      </w:r>
      <w:r>
        <w:rPr>
          <w:spacing w:val="9"/>
        </w:rPr>
        <w:t>校招收中等职业学校毕业生统一考试招生工作的通知》(粤招办</w:t>
      </w:r>
      <w:r>
        <w:rPr>
          <w:spacing w:val="12"/>
        </w:rPr>
        <w:t xml:space="preserve"> </w:t>
      </w:r>
      <w:r>
        <w:rPr>
          <w:spacing w:val="18"/>
        </w:rPr>
        <w:t>普〔2024〕44号)要求，面向报考2025</w:t>
      </w:r>
      <w:r>
        <w:rPr>
          <w:spacing w:val="17"/>
        </w:rPr>
        <w:t>年广东工商职业技术大</w:t>
      </w:r>
      <w:r>
        <w:rPr/>
        <w:t xml:space="preserve"> </w:t>
      </w:r>
      <w:r>
        <w:rPr>
          <w:spacing w:val="8"/>
        </w:rPr>
        <w:t>学大数据工程技术专业中职升本考生而实施的具有选拔功能的</w:t>
      </w:r>
      <w:r>
        <w:rPr>
          <w:spacing w:val="1"/>
        </w:rPr>
        <w:t xml:space="preserve">  </w:t>
      </w:r>
      <w:r>
        <w:rPr>
          <w:spacing w:val="4"/>
        </w:rPr>
        <w:t>职业素质测试。通过测试，科学、公平、合理</w:t>
      </w:r>
      <w:r>
        <w:rPr>
          <w:spacing w:val="3"/>
        </w:rPr>
        <w:t>、有效地考察考生</w:t>
      </w:r>
      <w:r>
        <w:rPr/>
        <w:t xml:space="preserve"> </w:t>
      </w:r>
      <w:r>
        <w:rPr>
          <w:spacing w:val="3"/>
        </w:rPr>
        <w:t>中职阶段掌握大数据相关专业基础能力和基本知识的程度，以及</w:t>
      </w:r>
      <w:r>
        <w:rPr>
          <w:spacing w:val="18"/>
        </w:rPr>
        <w:t xml:space="preserve"> </w:t>
      </w:r>
      <w:r>
        <w:rPr>
          <w:spacing w:val="6"/>
        </w:rPr>
        <w:t>运用相关理论和方法分析解决实际问题的能</w:t>
      </w:r>
      <w:r>
        <w:rPr>
          <w:spacing w:val="5"/>
        </w:rPr>
        <w:t>力。</w:t>
      </w:r>
    </w:p>
    <w:p>
      <w:pPr>
        <w:ind w:left="334"/>
        <w:spacing w:before="57" w:line="226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1"/>
        </w:rPr>
        <w:t>二、命题原则</w:t>
      </w:r>
    </w:p>
    <w:p>
      <w:pPr>
        <w:pStyle w:val="BodyText"/>
        <w:ind w:firstLine="460"/>
        <w:spacing w:before="224" w:line="353" w:lineRule="auto"/>
        <w:jc w:val="both"/>
        <w:rPr/>
      </w:pPr>
      <w:r>
        <w:rPr>
          <w:spacing w:val="10"/>
        </w:rPr>
        <w:t>职业技能测试考核方案以《关于做好广东省2025年普通高校</w:t>
      </w:r>
      <w:r>
        <w:rPr>
          <w:spacing w:val="9"/>
        </w:rPr>
        <w:t xml:space="preserve"> </w:t>
      </w:r>
      <w:r>
        <w:rPr>
          <w:spacing w:val="4"/>
        </w:rPr>
        <w:t>招收中等职业学校毕业生统一考试招生工作的通知》、大数据分</w:t>
      </w:r>
      <w:r>
        <w:rPr>
          <w:spacing w:val="16"/>
        </w:rPr>
        <w:t xml:space="preserve"> </w:t>
      </w:r>
      <w:r>
        <w:rPr>
          <w:spacing w:val="3"/>
        </w:rPr>
        <w:t>析与应用职业技能等级标准及要求为指导，根据大数据工程技术</w:t>
      </w:r>
      <w:r>
        <w:rPr>
          <w:spacing w:val="14"/>
        </w:rPr>
        <w:t xml:space="preserve"> </w:t>
      </w:r>
      <w:r>
        <w:rPr>
          <w:spacing w:val="4"/>
        </w:rPr>
        <w:t>专业人才培养目标及技能测试的环境和条件制订。本大纲</w:t>
      </w:r>
      <w:r>
        <w:rPr>
          <w:spacing w:val="3"/>
        </w:rPr>
        <w:t>紧密结</w:t>
      </w:r>
      <w:r>
        <w:rPr/>
        <w:t xml:space="preserve"> </w:t>
      </w:r>
      <w:r>
        <w:rPr>
          <w:spacing w:val="3"/>
        </w:rPr>
        <w:t>合中等职业技术学校大数据专业课程的教学内容，注重大数据工</w:t>
      </w:r>
      <w:r>
        <w:rPr>
          <w:spacing w:val="15"/>
        </w:rPr>
        <w:t xml:space="preserve"> </w:t>
      </w:r>
      <w:r>
        <w:rPr>
          <w:spacing w:val="4"/>
        </w:rPr>
        <w:t>程技术基础知识、基本技能的考核，重点考查考生综合运用能力</w:t>
      </w:r>
      <w:r>
        <w:rPr>
          <w:spacing w:val="17"/>
        </w:rPr>
        <w:t xml:space="preserve"> </w:t>
      </w:r>
      <w:r>
        <w:rPr>
          <w:spacing w:val="-2"/>
        </w:rPr>
        <w:t>和实践动手能力。</w:t>
      </w:r>
    </w:p>
    <w:p>
      <w:pPr>
        <w:spacing w:line="353" w:lineRule="auto"/>
        <w:sectPr>
          <w:pgSz w:w="11900" w:h="16830"/>
          <w:pgMar w:top="1430" w:right="1489" w:bottom="0" w:left="1599" w:header="0" w:footer="0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ind w:left="3219"/>
        <w:spacing w:before="101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2"/>
        </w:rPr>
        <w:t>第二部分考试形式</w:t>
      </w:r>
    </w:p>
    <w:p>
      <w:pPr>
        <w:ind w:left="329"/>
        <w:spacing w:before="229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</w:rPr>
        <w:t>一、考试时间及分值</w:t>
      </w:r>
    </w:p>
    <w:p>
      <w:pPr>
        <w:pStyle w:val="BodyText"/>
        <w:ind w:left="14" w:right="57" w:firstLine="460"/>
        <w:spacing w:before="222" w:line="343" w:lineRule="auto"/>
        <w:rPr/>
      </w:pPr>
      <w:r>
        <w:rPr>
          <w:spacing w:val="2"/>
        </w:rPr>
        <w:t>职业技能测试考试为专业技能实操考核，考试时间为60分钟，</w:t>
      </w:r>
      <w:r>
        <w:rPr>
          <w:spacing w:val="18"/>
        </w:rPr>
        <w:t xml:space="preserve"> </w:t>
      </w:r>
      <w:r>
        <w:rPr>
          <w:spacing w:val="15"/>
        </w:rPr>
        <w:t>满分100分。</w:t>
      </w:r>
    </w:p>
    <w:p>
      <w:pPr>
        <w:ind w:left="329"/>
        <w:spacing w:before="56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二、考试形式</w:t>
      </w:r>
    </w:p>
    <w:p>
      <w:pPr>
        <w:pStyle w:val="BodyText"/>
        <w:ind w:left="65" w:right="149" w:firstLine="599"/>
        <w:spacing w:before="196" w:line="347" w:lineRule="auto"/>
        <w:rPr/>
      </w:pPr>
      <w:r>
        <w:rPr>
          <w:spacing w:val="4"/>
        </w:rPr>
        <w:t>实操考核：现场在试题库中随机抽取一个项目，考生</w:t>
      </w:r>
      <w:r>
        <w:rPr>
          <w:spacing w:val="3"/>
        </w:rPr>
        <w:t>按照项</w:t>
      </w:r>
      <w:r>
        <w:rPr/>
        <w:t xml:space="preserve"> </w:t>
      </w:r>
      <w:r>
        <w:rPr>
          <w:spacing w:val="3"/>
        </w:rPr>
        <w:t>目标准实施操作，并在规定时间内按要求提交结果文件；</w:t>
      </w:r>
    </w:p>
    <w:p>
      <w:pPr>
        <w:ind w:left="2299"/>
        <w:spacing w:before="274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第三部分考试内容与评分标准</w:t>
      </w:r>
    </w:p>
    <w:p>
      <w:pPr>
        <w:ind w:left="329"/>
        <w:spacing w:before="252" w:line="227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1"/>
        </w:rPr>
        <w:t>一、考核范围</w:t>
      </w:r>
    </w:p>
    <w:p>
      <w:pPr>
        <w:pStyle w:val="BodyText"/>
        <w:ind w:left="14" w:right="256" w:firstLine="460"/>
        <w:spacing w:before="198" w:line="350" w:lineRule="auto"/>
        <w:rPr/>
      </w:pPr>
      <w:r>
        <w:rPr>
          <w:spacing w:val="10"/>
        </w:rPr>
        <w:t>实操考核主要考查考生使用</w:t>
      </w:r>
      <w:r>
        <w:rPr>
          <w:rFonts w:ascii="Times New Roman" w:hAnsi="Times New Roman" w:eastAsia="Times New Roman" w:cs="Times New Roman"/>
        </w:rPr>
        <w:t>Excel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10"/>
        </w:rPr>
        <w:t>进行数据分析的能力，主</w:t>
      </w:r>
      <w:r>
        <w:rPr>
          <w:spacing w:val="5"/>
        </w:rPr>
        <w:t xml:space="preserve"> </w:t>
      </w:r>
      <w:r>
        <w:rPr>
          <w:spacing w:val="-2"/>
        </w:rPr>
        <w:t>要包含以下几个方面：</w:t>
      </w:r>
    </w:p>
    <w:p>
      <w:pPr>
        <w:pStyle w:val="BodyText"/>
        <w:ind w:left="585"/>
        <w:spacing w:before="38" w:line="222" w:lineRule="auto"/>
        <w:rPr/>
      </w:pPr>
      <w:r>
        <w:rPr>
          <w:spacing w:val="11"/>
        </w:rPr>
        <w:t>(</w:t>
      </w:r>
      <w:r>
        <w:rPr>
          <w:spacing w:val="-89"/>
        </w:rPr>
        <w:t xml:space="preserve"> </w:t>
      </w:r>
      <w:r>
        <w:rPr>
          <w:spacing w:val="11"/>
        </w:rPr>
        <w:t>一)数据清洗；</w:t>
      </w:r>
    </w:p>
    <w:p>
      <w:pPr>
        <w:pStyle w:val="BodyText"/>
        <w:ind w:left="585"/>
        <w:spacing w:before="224" w:line="222" w:lineRule="auto"/>
        <w:rPr/>
      </w:pPr>
      <w:r>
        <w:rPr>
          <w:spacing w:val="19"/>
        </w:rPr>
        <w:t>(二)数据分析；</w:t>
      </w:r>
    </w:p>
    <w:p>
      <w:pPr>
        <w:pStyle w:val="BodyText"/>
        <w:ind w:left="585"/>
        <w:spacing w:before="210" w:line="222" w:lineRule="auto"/>
        <w:rPr/>
      </w:pPr>
      <w:r>
        <w:rPr>
          <w:spacing w:val="19"/>
        </w:rPr>
        <w:t>(三)数据可视化。</w:t>
      </w:r>
    </w:p>
    <w:p>
      <w:pPr>
        <w:ind w:left="329"/>
        <w:spacing w:before="207" w:line="22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-3"/>
        </w:rPr>
        <w:t>二、评分标准</w:t>
      </w:r>
    </w:p>
    <w:p>
      <w:pPr>
        <w:pStyle w:val="BodyText"/>
        <w:ind w:left="14" w:firstLine="460"/>
        <w:spacing w:before="253" w:line="348" w:lineRule="auto"/>
        <w:jc w:val="both"/>
        <w:rPr/>
      </w:pPr>
      <w:r>
        <w:rPr>
          <w:spacing w:val="7"/>
        </w:rPr>
        <w:t>以大数据分析与应用职业技能等级标准为指导，结合各项目</w:t>
      </w:r>
      <w:r>
        <w:rPr>
          <w:spacing w:val="1"/>
        </w:rPr>
        <w:t xml:space="preserve">  </w:t>
      </w:r>
      <w:r>
        <w:rPr>
          <w:spacing w:val="12"/>
        </w:rPr>
        <w:t>知识要点制定具体项目评分表，如</w:t>
      </w:r>
      <w:r>
        <w:rPr>
          <w:rFonts w:ascii="SimSun" w:hAnsi="SimSun" w:eastAsia="SimSun" w:cs="SimSun"/>
          <w:spacing w:val="12"/>
        </w:rPr>
        <w:t>“</w:t>
      </w:r>
      <w:r>
        <w:rPr>
          <w:rFonts w:ascii="SimSun" w:hAnsi="SimSun" w:eastAsia="SimSun" w:cs="SimSun"/>
        </w:rPr>
        <w:t>Exce</w:t>
      </w:r>
      <w:r>
        <w:rPr>
          <w:rFonts w:ascii="SimSun" w:hAnsi="SimSun" w:eastAsia="SimSun" w:cs="SimSun"/>
          <w:spacing w:val="12"/>
        </w:rPr>
        <w:t>1</w:t>
      </w:r>
      <w:r>
        <w:rPr>
          <w:rFonts w:ascii="SimSun" w:hAnsi="SimSun" w:eastAsia="SimSun" w:cs="SimSun"/>
          <w:spacing w:val="-31"/>
        </w:rPr>
        <w:t xml:space="preserve"> </w:t>
      </w:r>
      <w:r>
        <w:rPr>
          <w:spacing w:val="12"/>
        </w:rPr>
        <w:t>数据分析及可视化”</w:t>
      </w:r>
      <w:r>
        <w:rPr/>
        <w:t xml:space="preserve"> </w:t>
      </w:r>
      <w:r>
        <w:rPr>
          <w:spacing w:val="6"/>
        </w:rPr>
        <w:t>项目，评分标准参考见表1。</w:t>
      </w:r>
    </w:p>
    <w:p>
      <w:pPr>
        <w:ind w:left="2288"/>
        <w:spacing w:before="95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表1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职业技能测试实操考核项目评分表样例</w:t>
      </w:r>
    </w:p>
    <w:p>
      <w:pPr>
        <w:spacing w:line="176" w:lineRule="exact"/>
        <w:rPr/>
      </w:pPr>
      <w:r/>
    </w:p>
    <w:tbl>
      <w:tblPr>
        <w:tblStyle w:val="TableNormal"/>
        <w:tblW w:w="88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4"/>
        <w:gridCol w:w="1249"/>
        <w:gridCol w:w="1728"/>
        <w:gridCol w:w="759"/>
        <w:gridCol w:w="3726"/>
        <w:gridCol w:w="724"/>
      </w:tblGrid>
      <w:tr>
        <w:trPr>
          <w:trHeight w:val="439" w:hRule="atLeast"/>
        </w:trPr>
        <w:tc>
          <w:tcPr>
            <w:tcW w:w="644" w:type="dxa"/>
            <w:vAlign w:val="top"/>
          </w:tcPr>
          <w:p>
            <w:pPr>
              <w:ind w:left="107"/>
              <w:spacing w:before="121" w:line="221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题号</w:t>
            </w:r>
          </w:p>
        </w:tc>
        <w:tc>
          <w:tcPr>
            <w:tcW w:w="1249" w:type="dxa"/>
            <w:vAlign w:val="top"/>
          </w:tcPr>
          <w:p>
            <w:pPr>
              <w:ind w:left="243"/>
              <w:spacing w:before="12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考核类型</w:t>
            </w:r>
          </w:p>
        </w:tc>
        <w:tc>
          <w:tcPr>
            <w:tcW w:w="1728" w:type="dxa"/>
            <w:vAlign w:val="top"/>
          </w:tcPr>
          <w:p>
            <w:pPr>
              <w:ind w:left="474"/>
              <w:spacing w:before="12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6"/>
              </w:rPr>
              <w:t>考核题目</w:t>
            </w:r>
          </w:p>
        </w:tc>
        <w:tc>
          <w:tcPr>
            <w:tcW w:w="759" w:type="dxa"/>
            <w:vAlign w:val="top"/>
          </w:tcPr>
          <w:p>
            <w:pPr>
              <w:ind w:left="176"/>
              <w:spacing w:before="12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分值</w:t>
            </w:r>
          </w:p>
        </w:tc>
        <w:tc>
          <w:tcPr>
            <w:tcW w:w="3726" w:type="dxa"/>
            <w:vAlign w:val="top"/>
          </w:tcPr>
          <w:p>
            <w:pPr>
              <w:ind w:left="1467"/>
              <w:spacing w:before="120" w:line="220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4"/>
              </w:rPr>
              <w:t>评分标准</w:t>
            </w:r>
          </w:p>
        </w:tc>
        <w:tc>
          <w:tcPr>
            <w:tcW w:w="724" w:type="dxa"/>
            <w:vAlign w:val="top"/>
          </w:tcPr>
          <w:p>
            <w:pPr>
              <w:ind w:left="181"/>
              <w:spacing w:before="120" w:line="219" w:lineRule="auto"/>
              <w:rPr>
                <w:rFonts w:ascii="SimSun" w:hAnsi="SimSun" w:eastAsia="SimSun" w:cs="SimSun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b/>
                <w:bCs/>
                <w:spacing w:val="-5"/>
              </w:rPr>
              <w:t>得分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6830"/>
          <w:pgMar w:top="1430" w:right="1337" w:bottom="0" w:left="1584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1"/>
        <w:rPr/>
      </w:pPr>
      <w:r/>
    </w:p>
    <w:p>
      <w:pPr>
        <w:spacing w:before="90"/>
        <w:rPr/>
      </w:pPr>
      <w:r/>
    </w:p>
    <w:tbl>
      <w:tblPr>
        <w:tblStyle w:val="TableNormal"/>
        <w:tblW w:w="88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44"/>
        <w:gridCol w:w="1259"/>
        <w:gridCol w:w="1708"/>
        <w:gridCol w:w="769"/>
        <w:gridCol w:w="3736"/>
        <w:gridCol w:w="714"/>
      </w:tblGrid>
      <w:tr>
        <w:trPr>
          <w:trHeight w:val="944" w:hRule="atLeast"/>
        </w:trPr>
        <w:tc>
          <w:tcPr>
            <w:tcW w:w="64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4" w:lineRule="auto"/>
              <w:rPr/>
            </w:pPr>
            <w:r>
              <w:rPr/>
              <w:t>1</w:t>
            </w:r>
          </w:p>
        </w:tc>
        <w:tc>
          <w:tcPr>
            <w:tcW w:w="12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19" w:lineRule="auto"/>
              <w:rPr/>
            </w:pPr>
            <w:r>
              <w:rPr>
                <w:spacing w:val="-2"/>
              </w:rPr>
              <w:t>数据清洗</w:t>
            </w:r>
          </w:p>
        </w:tc>
        <w:tc>
          <w:tcPr>
            <w:tcW w:w="17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2"/>
              <w:spacing w:before="65" w:line="219" w:lineRule="auto"/>
              <w:rPr/>
            </w:pPr>
            <w:r>
              <w:rPr>
                <w:spacing w:val="-2"/>
              </w:rPr>
              <w:t>选择子集</w:t>
            </w:r>
          </w:p>
        </w:tc>
        <w:tc>
          <w:tcPr>
            <w:tcW w:w="76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82" w:lineRule="auto"/>
              <w:rPr/>
            </w:pPr>
            <w:r>
              <w:rPr/>
              <w:t>5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165"/>
              <w:spacing w:before="63" w:line="219" w:lineRule="auto"/>
              <w:rPr/>
            </w:pPr>
            <w:r>
              <w:rPr/>
              <w:t>隐藏原始数据集字段含义相似以及数据</w:t>
            </w:r>
          </w:p>
          <w:p>
            <w:pPr>
              <w:pStyle w:val="TableText"/>
              <w:ind w:left="65" w:right="139" w:firstLine="100"/>
              <w:spacing w:before="61" w:line="264" w:lineRule="auto"/>
              <w:rPr/>
            </w:pPr>
            <w:r>
              <w:rPr>
                <w:spacing w:val="1"/>
              </w:rPr>
              <w:t>无用的列，仅保留分析可用的数据列即</w:t>
            </w:r>
            <w:r>
              <w:rPr>
                <w:spacing w:val="3"/>
              </w:rPr>
              <w:t xml:space="preserve"> </w:t>
            </w:r>
            <w:r>
              <w:rPr/>
              <w:t>可。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9" w:hRule="atLeast"/>
        </w:trPr>
        <w:tc>
          <w:tcPr>
            <w:tcW w:w="64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2</w:t>
            </w:r>
          </w:p>
        </w:tc>
        <w:tc>
          <w:tcPr>
            <w:tcW w:w="12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19" w:lineRule="auto"/>
              <w:rPr/>
            </w:pPr>
            <w:r>
              <w:rPr>
                <w:spacing w:val="-2"/>
              </w:rPr>
              <w:t>数据清洗</w:t>
            </w:r>
          </w:p>
        </w:tc>
        <w:tc>
          <w:tcPr>
            <w:tcW w:w="170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5" w:line="220" w:lineRule="auto"/>
              <w:rPr/>
            </w:pPr>
            <w:r>
              <w:rPr>
                <w:spacing w:val="5"/>
              </w:rPr>
              <w:t>列名重命名</w:t>
            </w:r>
          </w:p>
        </w:tc>
        <w:tc>
          <w:tcPr>
            <w:tcW w:w="76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82" w:lineRule="auto"/>
              <w:rPr/>
            </w:pPr>
            <w:r>
              <w:rPr/>
              <w:t>5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84" w:right="151" w:firstLine="80"/>
              <w:spacing w:before="70" w:line="258" w:lineRule="auto"/>
              <w:jc w:val="both"/>
              <w:rPr/>
            </w:pPr>
            <w:r>
              <w:rPr>
                <w:spacing w:val="-1"/>
              </w:rPr>
              <w:t>确保列名称是对数据集含义的准确描述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(命名方式可参考行业/公司对数据集含</w:t>
            </w:r>
            <w:r>
              <w:rPr>
                <w:spacing w:val="16"/>
              </w:rPr>
              <w:t xml:space="preserve"> </w:t>
            </w:r>
            <w:r>
              <w:rPr/>
              <w:t>义的理解)。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0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65"/>
              <w:spacing w:before="291" w:line="183" w:lineRule="auto"/>
              <w:rPr/>
            </w:pPr>
            <w:r>
              <w:rPr/>
              <w:t>3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21"/>
              <w:spacing w:before="240" w:line="219" w:lineRule="auto"/>
              <w:rPr/>
            </w:pPr>
            <w:r>
              <w:rPr>
                <w:spacing w:val="-2"/>
              </w:rPr>
              <w:t>数据清洗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342"/>
              <w:spacing w:before="240" w:line="219" w:lineRule="auto"/>
              <w:rPr/>
            </w:pPr>
            <w:r>
              <w:rPr>
                <w:spacing w:val="-2"/>
              </w:rPr>
              <w:t>删除重复项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324"/>
              <w:spacing w:before="292" w:line="182" w:lineRule="auto"/>
              <w:rPr/>
            </w:pPr>
            <w:r>
              <w:rPr/>
              <w:t>5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75" w:right="145" w:firstLine="90"/>
              <w:spacing w:before="100" w:line="258" w:lineRule="auto"/>
              <w:rPr/>
            </w:pPr>
            <w:r>
              <w:rPr/>
              <w:t>选取数据集数据字段内容具备唯一性的</w:t>
            </w:r>
            <w:r>
              <w:rPr>
                <w:spacing w:val="14"/>
              </w:rPr>
              <w:t xml:space="preserve"> </w:t>
            </w:r>
            <w:r>
              <w:rPr/>
              <w:t>列，以此为基准排查重复项。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8" w:hRule="atLeast"/>
        </w:trPr>
        <w:tc>
          <w:tcPr>
            <w:tcW w:w="6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4</w:t>
            </w:r>
          </w:p>
        </w:tc>
        <w:tc>
          <w:tcPr>
            <w:tcW w:w="12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19" w:lineRule="auto"/>
              <w:rPr/>
            </w:pPr>
            <w:r>
              <w:rPr>
                <w:spacing w:val="-2"/>
              </w:rPr>
              <w:t>数据清洗</w:t>
            </w:r>
          </w:p>
        </w:tc>
        <w:tc>
          <w:tcPr>
            <w:tcW w:w="17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/>
              <w:spacing w:before="65" w:line="219" w:lineRule="auto"/>
              <w:rPr/>
            </w:pPr>
            <w:r>
              <w:rPr>
                <w:spacing w:val="-2"/>
              </w:rPr>
              <w:t>缺失值处理</w:t>
            </w:r>
          </w:p>
        </w:tc>
        <w:tc>
          <w:tcPr>
            <w:tcW w:w="7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82" w:lineRule="auto"/>
              <w:rPr/>
            </w:pPr>
            <w:r>
              <w:rPr/>
              <w:t>5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114"/>
              <w:spacing w:before="60" w:line="219" w:lineRule="auto"/>
              <w:rPr/>
            </w:pPr>
            <w:r>
              <w:rPr>
                <w:spacing w:val="-1"/>
              </w:rPr>
              <w:t>选取字段数据完整的列统计计数值(全选</w:t>
            </w:r>
          </w:p>
          <w:p>
            <w:pPr>
              <w:pStyle w:val="TableText"/>
              <w:spacing w:before="69" w:line="216" w:lineRule="auto"/>
              <w:jc w:val="right"/>
              <w:rPr/>
            </w:pPr>
            <w:r>
              <w:rPr>
                <w:spacing w:val="3"/>
              </w:rPr>
              <w:t>列后，计数结果自动显示于表格右下角),</w:t>
            </w:r>
          </w:p>
          <w:p>
            <w:pPr>
              <w:pStyle w:val="TableText"/>
              <w:ind w:left="65"/>
              <w:spacing w:before="88" w:line="219" w:lineRule="auto"/>
              <w:rPr/>
            </w:pPr>
            <w:r>
              <w:rPr>
                <w:spacing w:val="1"/>
              </w:rPr>
              <w:t>其他字段均以此为标准统计缺失值。利用</w:t>
            </w:r>
          </w:p>
          <w:p>
            <w:pPr>
              <w:pStyle w:val="TableText"/>
              <w:ind w:left="115"/>
              <w:spacing w:before="72" w:line="219" w:lineRule="auto"/>
              <w:rPr/>
            </w:pPr>
            <w:r>
              <w:rPr>
                <w:spacing w:val="6"/>
              </w:rPr>
              <w:t>“查找”→定位"空值”的方式锁定空</w:t>
            </w:r>
          </w:p>
          <w:p>
            <w:pPr>
              <w:pStyle w:val="TableText"/>
              <w:ind w:left="165"/>
              <w:spacing w:before="73" w:line="219" w:lineRule="auto"/>
              <w:rPr/>
            </w:pPr>
            <w:r>
              <w:rPr>
                <w:spacing w:val="-1"/>
              </w:rPr>
              <w:t>值位置。结合实际情况对空值进行处理</w:t>
            </w:r>
          </w:p>
          <w:p>
            <w:pPr>
              <w:pStyle w:val="TableText"/>
              <w:ind w:left="75" w:right="199" w:firstLine="140"/>
              <w:spacing w:before="62" w:line="253" w:lineRule="auto"/>
              <w:rPr/>
            </w:pPr>
            <w:r>
              <w:rPr/>
              <w:t>(手动录入/平均值替代/统计模型结果</w:t>
            </w:r>
            <w:r>
              <w:rPr>
                <w:spacing w:val="10"/>
              </w:rPr>
              <w:t xml:space="preserve"> </w:t>
            </w:r>
            <w:r>
              <w:rPr/>
              <w:t>录入/删除)。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15"/>
              <w:spacing w:before="302" w:line="237" w:lineRule="auto"/>
              <w:rPr/>
            </w:pPr>
            <w:r>
              <w:rPr/>
              <w:t>…</w:t>
            </w:r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8" w:type="dxa"/>
            <w:vAlign w:val="top"/>
          </w:tcPr>
          <w:p>
            <w:pPr>
              <w:pStyle w:val="TableText"/>
              <w:ind w:left="742"/>
              <w:spacing w:before="302" w:line="237" w:lineRule="auto"/>
              <w:rPr/>
            </w:pPr>
            <w:r>
              <w:rPr/>
              <w:t>…</w:t>
            </w:r>
          </w:p>
        </w:tc>
        <w:tc>
          <w:tcPr>
            <w:tcW w:w="76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136" w:lineRule="exact"/>
              <w:rPr/>
            </w:pPr>
            <w:r>
              <w:rPr>
                <w:position w:val="-3"/>
              </w:rPr>
              <w:t>-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1765"/>
              <w:spacing w:before="212" w:line="315" w:lineRule="exact"/>
              <w:rPr/>
            </w:pPr>
            <w:r>
              <w:rPr>
                <w:position w:val="2"/>
              </w:rPr>
              <w:t>…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9" w:hRule="atLeast"/>
        </w:trPr>
        <w:tc>
          <w:tcPr>
            <w:tcW w:w="64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5"/>
              <w:spacing w:before="65" w:line="183" w:lineRule="auto"/>
              <w:rPr/>
            </w:pPr>
            <w:r>
              <w:rPr/>
              <w:t>8</w:t>
            </w:r>
          </w:p>
        </w:tc>
        <w:tc>
          <w:tcPr>
            <w:tcW w:w="125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19" w:lineRule="auto"/>
              <w:rPr/>
            </w:pPr>
            <w:r>
              <w:rPr>
                <w:spacing w:val="-2"/>
              </w:rPr>
              <w:t>数据分析</w:t>
            </w:r>
          </w:p>
        </w:tc>
        <w:tc>
          <w:tcPr>
            <w:tcW w:w="170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19" w:lineRule="auto"/>
              <w:rPr/>
            </w:pPr>
            <w:r>
              <w:rPr>
                <w:spacing w:val="2"/>
              </w:rPr>
              <w:t>数据分类汇总</w:t>
            </w:r>
          </w:p>
        </w:tc>
        <w:tc>
          <w:tcPr>
            <w:tcW w:w="76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65" w:right="70" w:firstLine="100"/>
              <w:spacing w:before="74" w:line="263" w:lineRule="auto"/>
              <w:jc w:val="both"/>
              <w:rPr/>
            </w:pPr>
            <w:r>
              <w:rPr>
                <w:spacing w:val="-1"/>
              </w:rPr>
              <w:t>使用数据透视表功能可实现数据分类呈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现，并且可按需设置分类后数据的汇总方</w:t>
            </w:r>
            <w:r>
              <w:rPr>
                <w:spacing w:val="7"/>
              </w:rPr>
              <w:t xml:space="preserve"> </w:t>
            </w:r>
            <w:r>
              <w:rPr/>
              <w:t>式，加总/平均值/最大值等。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9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65"/>
              <w:spacing w:before="285" w:line="183" w:lineRule="auto"/>
              <w:rPr/>
            </w:pPr>
            <w:r>
              <w:rPr/>
              <w:t>9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21"/>
              <w:spacing w:before="234" w:line="219" w:lineRule="auto"/>
              <w:rPr/>
            </w:pPr>
            <w:r>
              <w:rPr>
                <w:spacing w:val="-2"/>
              </w:rPr>
              <w:t>数据分析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142"/>
              <w:spacing w:before="234" w:line="220" w:lineRule="auto"/>
              <w:rPr/>
            </w:pPr>
            <w:r>
              <w:rPr>
                <w:spacing w:val="-2"/>
              </w:rPr>
              <w:t>描述性统计分析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/>
              <w:spacing w:before="284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94" w:right="218" w:firstLine="120"/>
              <w:spacing w:before="73" w:line="261" w:lineRule="auto"/>
              <w:rPr/>
            </w:pPr>
            <w:r>
              <w:rPr>
                <w:spacing w:val="-1"/>
              </w:rPr>
              <w:t>加载“分析工具库"后，选择"数据-数</w:t>
            </w:r>
            <w:r>
              <w:rPr>
                <w:spacing w:val="9"/>
              </w:rPr>
              <w:t xml:space="preserve"> </w:t>
            </w:r>
            <w:r>
              <w:rPr/>
              <w:t>据分析-描述性分析"。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68" w:hRule="atLeast"/>
        </w:trPr>
        <w:tc>
          <w:tcPr>
            <w:tcW w:w="64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2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5" w:line="219" w:lineRule="auto"/>
              <w:rPr/>
            </w:pPr>
            <w:r>
              <w:rPr>
                <w:spacing w:val="-2"/>
              </w:rPr>
              <w:t>数据分析</w:t>
            </w:r>
          </w:p>
        </w:tc>
        <w:tc>
          <w:tcPr>
            <w:tcW w:w="170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20" w:lineRule="auto"/>
              <w:rPr/>
            </w:pPr>
            <w:r>
              <w:rPr>
                <w:spacing w:val="1"/>
              </w:rPr>
              <w:t>多表关联分析</w:t>
            </w:r>
          </w:p>
        </w:tc>
        <w:tc>
          <w:tcPr>
            <w:tcW w:w="76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3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65" w:right="50" w:firstLine="100"/>
              <w:spacing w:before="72" w:line="280" w:lineRule="auto"/>
              <w:rPr/>
            </w:pPr>
            <w:r>
              <w:rPr>
                <w:spacing w:val="-1"/>
              </w:rPr>
              <w:t>两个表内数据字段存在相同含义，VLO0</w:t>
            </w:r>
            <w:r>
              <w:rPr>
                <w:spacing w:val="4"/>
              </w:rPr>
              <w:t xml:space="preserve">  </w:t>
            </w:r>
            <w:r>
              <w:rPr/>
              <w:t>KUP</w:t>
            </w:r>
            <w:r>
              <w:rPr>
                <w:spacing w:val="2"/>
              </w:rPr>
              <w:t>可实现跨表格精准查找匹配数据；此</w:t>
            </w:r>
            <w:r>
              <w:rPr>
                <w:spacing w:val="12"/>
              </w:rPr>
              <w:t xml:space="preserve"> </w:t>
            </w:r>
            <w:r>
              <w:rPr/>
              <w:t>外用该函数还可实现数据按条件分组，首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先定义分组规则(临界数、分组名称、分</w:t>
            </w:r>
          </w:p>
          <w:p>
            <w:pPr>
              <w:pStyle w:val="TableText"/>
              <w:ind w:left="65" w:right="171" w:firstLine="100"/>
              <w:spacing w:before="36" w:line="247" w:lineRule="auto"/>
              <w:rPr/>
            </w:pPr>
            <w:r>
              <w:rPr>
                <w:spacing w:val="-1"/>
              </w:rPr>
              <w:t>组范围),设置近似查找返回值为对应组</w:t>
            </w:r>
            <w:r>
              <w:rPr>
                <w:spacing w:val="6"/>
              </w:rPr>
              <w:t xml:space="preserve"> </w:t>
            </w:r>
            <w:r>
              <w:rPr/>
              <w:t>名。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9" w:hRule="atLeast"/>
        </w:trPr>
        <w:tc>
          <w:tcPr>
            <w:tcW w:w="644" w:type="dxa"/>
            <w:vAlign w:val="top"/>
          </w:tcPr>
          <w:p>
            <w:pPr>
              <w:pStyle w:val="TableText"/>
              <w:ind w:left="215"/>
              <w:spacing w:before="226" w:line="205" w:lineRule="auto"/>
              <w:rPr/>
            </w:pPr>
            <w:r>
              <w:rPr/>
              <w:t>…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521"/>
              <w:spacing w:before="247" w:line="186" w:lineRule="auto"/>
              <w:rPr/>
            </w:pPr>
            <w:r>
              <w:rPr/>
              <w:t>…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742"/>
              <w:spacing w:before="247" w:line="186" w:lineRule="auto"/>
              <w:rPr/>
            </w:pPr>
            <w:r>
              <w:rPr/>
              <w:t>…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273"/>
              <w:spacing w:before="226" w:line="205" w:lineRule="auto"/>
              <w:rPr/>
            </w:pPr>
            <w:r>
              <w:rPr/>
              <w:t>…</w:t>
            </w:r>
          </w:p>
        </w:tc>
        <w:tc>
          <w:tcPr>
            <w:tcW w:w="3736" w:type="dxa"/>
            <w:vAlign w:val="top"/>
          </w:tcPr>
          <w:p>
            <w:pPr>
              <w:pStyle w:val="TableText"/>
              <w:ind w:left="1765"/>
              <w:spacing w:before="157" w:line="292" w:lineRule="exact"/>
              <w:rPr/>
            </w:pPr>
            <w:r>
              <w:rPr>
                <w:position w:val="2"/>
              </w:rPr>
              <w:t>…</w:t>
            </w:r>
          </w:p>
        </w:tc>
        <w:tc>
          <w:tcPr>
            <w:tcW w:w="714" w:type="dxa"/>
            <w:vAlign w:val="top"/>
          </w:tcPr>
          <w:p>
            <w:pPr>
              <w:pStyle w:val="TableText"/>
              <w:ind w:left="248"/>
              <w:spacing w:before="226" w:line="205" w:lineRule="auto"/>
              <w:rPr/>
            </w:pPr>
            <w:r>
              <w:rPr/>
              <w:t>…</w:t>
            </w:r>
          </w:p>
        </w:tc>
      </w:tr>
      <w:tr>
        <w:trPr>
          <w:trHeight w:val="944" w:hRule="atLeast"/>
        </w:trPr>
        <w:tc>
          <w:tcPr>
            <w:tcW w:w="64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65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19" w:lineRule="auto"/>
              <w:rPr/>
            </w:pPr>
            <w:r>
              <w:rPr>
                <w:spacing w:val="-2"/>
              </w:rPr>
              <w:t>数据可视化</w:t>
            </w:r>
          </w:p>
        </w:tc>
        <w:tc>
          <w:tcPr>
            <w:tcW w:w="170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2"/>
              <w:spacing w:before="65" w:line="221" w:lineRule="auto"/>
              <w:rPr/>
            </w:pPr>
            <w:r>
              <w:rPr>
                <w:spacing w:val="2"/>
              </w:rPr>
              <w:t>销售总量对比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36" w:type="dxa"/>
            <w:vAlign w:val="top"/>
          </w:tcPr>
          <w:p>
            <w:pPr>
              <w:pStyle w:val="TableText"/>
              <w:ind w:left="65" w:right="43"/>
              <w:spacing w:before="88" w:line="260" w:lineRule="auto"/>
              <w:jc w:val="both"/>
              <w:rPr/>
            </w:pPr>
            <w:r>
              <w:rPr/>
              <w:t>请选择你认为合适的可视化图形，将不同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类别商品的销售总量对比描绘，并就可视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化结果进行解释。</w:t>
            </w:r>
          </w:p>
        </w:tc>
        <w:tc>
          <w:tcPr>
            <w:tcW w:w="7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35" w:lineRule="auto"/>
        <w:rPr>
          <w:rFonts w:ascii="Arial"/>
          <w:sz w:val="21"/>
        </w:rPr>
      </w:pPr>
      <w:r/>
    </w:p>
    <w:p>
      <w:pPr>
        <w:ind w:left="3109"/>
        <w:spacing w:before="104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0"/>
        </w:rPr>
        <w:t>第四部分参考书目</w:t>
      </w:r>
    </w:p>
    <w:p>
      <w:pPr>
        <w:ind w:left="24" w:firstLine="50"/>
        <w:spacing w:before="200" w:line="358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32"/>
          <w:szCs w:val="32"/>
          <w:spacing w:val="3"/>
        </w:rPr>
        <w:t>[1]薛亚宏.</w:t>
      </w:r>
      <w:r>
        <w:rPr>
          <w:rFonts w:ascii="Times New Roman" w:hAnsi="Times New Roman" w:eastAsia="Times New Roman" w:cs="Times New Roman"/>
          <w:sz w:val="32"/>
          <w:szCs w:val="32"/>
        </w:rPr>
        <w:t>Exce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12019 </w:t>
      </w:r>
      <w:r>
        <w:rPr>
          <w:rFonts w:ascii="SimHei" w:hAnsi="SimHei" w:eastAsia="SimHei" w:cs="SimHei"/>
          <w:sz w:val="32"/>
          <w:szCs w:val="32"/>
          <w:spacing w:val="3"/>
        </w:rPr>
        <w:t>统计数据处理与分析</w:t>
      </w:r>
      <w:r>
        <w:rPr>
          <w:rFonts w:ascii="SimHei" w:hAnsi="SimHei" w:eastAsia="SimHei" w:cs="SimHei"/>
          <w:sz w:val="32"/>
          <w:szCs w:val="32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  <w:spacing w:val="3"/>
        </w:rPr>
        <w:t>[M].</w:t>
      </w:r>
      <w:r>
        <w:rPr>
          <w:rFonts w:ascii="SimHei" w:hAnsi="SimHei" w:eastAsia="SimHei" w:cs="SimHei"/>
          <w:sz w:val="32"/>
          <w:szCs w:val="32"/>
          <w:spacing w:val="3"/>
        </w:rPr>
        <w:t>机械工业出版</w:t>
      </w:r>
      <w:r>
        <w:rPr>
          <w:rFonts w:ascii="SimHei" w:hAnsi="SimHei" w:eastAsia="SimHei" w:cs="SimHei"/>
          <w:sz w:val="32"/>
          <w:szCs w:val="32"/>
          <w:spacing w:val="7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15"/>
        </w:rPr>
        <w:t>社，2020.</w:t>
      </w:r>
    </w:p>
    <w:p>
      <w:pPr>
        <w:spacing w:line="358" w:lineRule="auto"/>
        <w:sectPr>
          <w:pgSz w:w="11900" w:h="16830"/>
          <w:pgMar w:top="1430" w:right="1484" w:bottom="0" w:left="1574" w:header="0" w:footer="0" w:gutter="0"/>
        </w:sectPr>
        <w:rPr>
          <w:rFonts w:ascii="SimHei" w:hAnsi="SimHei" w:eastAsia="SimHei" w:cs="SimHei"/>
          <w:sz w:val="26"/>
          <w:szCs w:val="26"/>
        </w:rPr>
      </w:pP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ind w:right="379" w:firstLine="50"/>
        <w:spacing w:before="108" w:line="353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33"/>
          <w:szCs w:val="33"/>
          <w:spacing w:val="13"/>
        </w:rPr>
        <w:t>[2]程显毅.大数据技术导论(第2版)</w:t>
      </w:r>
      <w:r>
        <w:rPr>
          <w:rFonts w:ascii="Times New Roman" w:hAnsi="Times New Roman" w:eastAsia="Times New Roman" w:cs="Times New Roman"/>
          <w:sz w:val="33"/>
          <w:szCs w:val="33"/>
          <w:spacing w:val="13"/>
        </w:rPr>
        <w:t>[M].</w:t>
      </w:r>
      <w:r>
        <w:rPr>
          <w:rFonts w:ascii="SimHei" w:hAnsi="SimHei" w:eastAsia="SimHei" w:cs="SimHei"/>
          <w:sz w:val="33"/>
          <w:szCs w:val="33"/>
          <w:spacing w:val="13"/>
        </w:rPr>
        <w:t>机械工业出版</w:t>
      </w:r>
      <w:r>
        <w:rPr>
          <w:rFonts w:ascii="SimHei" w:hAnsi="SimHei" w:eastAsia="SimHei" w:cs="SimHei"/>
          <w:sz w:val="33"/>
          <w:szCs w:val="33"/>
          <w:spacing w:val="16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15"/>
        </w:rPr>
        <w:t>社，2022.</w:t>
      </w:r>
    </w:p>
    <w:sectPr>
      <w:pgSz w:w="11900" w:h="16830"/>
      <w:pgMar w:top="1430" w:right="1785" w:bottom="0" w:left="159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2025-01-20T17:41:04Z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2025-01-20T17:41:04</vt:filetime>
  </property>
  <property fmtid="{D5CDD505-2E9C-101B-9397-08002B2CF9AE}" pid="4" name="UsrData">
    <vt:lpwstr>678e1a2e5bc42f001fe8e0fbwl</vt:lpwstr>
  </property>
</Properties>
</file>